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558" w:rsidRPr="00227558" w:rsidRDefault="00227558" w:rsidP="0022755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1A16A0" w:rsidRPr="001A16A0" w:rsidRDefault="001A16A0" w:rsidP="001A16A0">
      <w:pPr>
        <w:spacing w:after="0" w:line="240" w:lineRule="auto"/>
        <w:jc w:val="center"/>
        <w:rPr>
          <w:rFonts w:cstheme="minorHAnsi"/>
          <w:b/>
          <w:sz w:val="24"/>
          <w:szCs w:val="24"/>
          <w:u w:val="single"/>
          <w:lang w:val="sr-Cyrl-RS"/>
        </w:rPr>
      </w:pPr>
      <w:r w:rsidRPr="001A16A0">
        <w:rPr>
          <w:rFonts w:cstheme="minorHAnsi"/>
          <w:b/>
          <w:sz w:val="24"/>
          <w:szCs w:val="24"/>
          <w:u w:val="single"/>
          <w:lang w:val="sr-Cyrl-RS"/>
        </w:rPr>
        <w:t xml:space="preserve">Обавештење у вези са почетком примене система </w:t>
      </w:r>
      <w:r w:rsidRPr="001A16A0">
        <w:rPr>
          <w:rFonts w:cstheme="minorHAnsi"/>
          <w:b/>
          <w:sz w:val="24"/>
          <w:szCs w:val="24"/>
          <w:u w:val="single"/>
          <w:lang w:val="sr-Latn-RS"/>
        </w:rPr>
        <w:t xml:space="preserve">NCTS, </w:t>
      </w:r>
      <w:r w:rsidRPr="001A16A0">
        <w:rPr>
          <w:rFonts w:cstheme="minorHAnsi"/>
          <w:b/>
          <w:sz w:val="24"/>
          <w:szCs w:val="24"/>
          <w:u w:val="single"/>
          <w:lang w:val="sr-Cyrl-RS"/>
        </w:rPr>
        <w:t xml:space="preserve">фаза 6 / </w:t>
      </w:r>
      <w:r w:rsidRPr="001A16A0">
        <w:rPr>
          <w:rFonts w:cstheme="minorHAnsi"/>
          <w:b/>
          <w:sz w:val="24"/>
          <w:szCs w:val="24"/>
          <w:u w:val="single"/>
        </w:rPr>
        <w:t>ICS2</w:t>
      </w:r>
      <w:r w:rsidRPr="001A16A0">
        <w:rPr>
          <w:rFonts w:cstheme="minorHAnsi"/>
          <w:b/>
          <w:sz w:val="24"/>
          <w:szCs w:val="24"/>
          <w:u w:val="single"/>
          <w:lang w:val="sr-Cyrl-RS"/>
        </w:rPr>
        <w:t>, фаза 3 у</w:t>
      </w:r>
    </w:p>
    <w:p w:rsidR="001A16A0" w:rsidRPr="001A16A0" w:rsidRDefault="001A16A0" w:rsidP="001A16A0">
      <w:pPr>
        <w:spacing w:after="0" w:line="240" w:lineRule="auto"/>
        <w:jc w:val="center"/>
        <w:rPr>
          <w:rFonts w:cstheme="minorHAnsi"/>
          <w:b/>
          <w:sz w:val="24"/>
          <w:szCs w:val="24"/>
          <w:u w:val="single"/>
          <w:lang w:val="sr-Cyrl-RS"/>
        </w:rPr>
      </w:pPr>
      <w:r w:rsidRPr="001A16A0">
        <w:rPr>
          <w:rFonts w:cstheme="minorHAnsi"/>
          <w:b/>
          <w:sz w:val="24"/>
          <w:szCs w:val="24"/>
          <w:u w:val="single"/>
          <w:lang w:val="sr-Cyrl-RS"/>
        </w:rPr>
        <w:t>Румунији</w:t>
      </w:r>
    </w:p>
    <w:p w:rsidR="00DA34D8" w:rsidRPr="001A16A0" w:rsidRDefault="00DA34D8" w:rsidP="00DA34D8">
      <w:pPr>
        <w:spacing w:after="0" w:line="240" w:lineRule="auto"/>
        <w:jc w:val="center"/>
        <w:rPr>
          <w:rFonts w:cstheme="minorHAnsi"/>
          <w:b/>
          <w:sz w:val="24"/>
          <w:szCs w:val="24"/>
          <w:u w:val="single"/>
          <w:lang w:val="sr-Cyrl-RS"/>
        </w:rPr>
      </w:pPr>
    </w:p>
    <w:p w:rsidR="001A16A0" w:rsidRPr="001A16A0" w:rsidRDefault="001A16A0" w:rsidP="001A16A0">
      <w:pPr>
        <w:spacing w:after="0" w:line="240" w:lineRule="auto"/>
        <w:jc w:val="both"/>
        <w:rPr>
          <w:rFonts w:cstheme="minorHAnsi"/>
          <w:sz w:val="24"/>
          <w:szCs w:val="24"/>
          <w:lang w:val="sr-Latn-RS"/>
        </w:rPr>
      </w:pPr>
    </w:p>
    <w:p w:rsidR="001A16A0" w:rsidRDefault="001A16A0" w:rsidP="00D73C9C">
      <w:pPr>
        <w:spacing w:after="0" w:line="240" w:lineRule="auto"/>
        <w:jc w:val="both"/>
        <w:rPr>
          <w:rFonts w:cstheme="minorHAnsi"/>
          <w:sz w:val="24"/>
          <w:szCs w:val="24"/>
          <w:lang w:val="sr-Cyrl-RS"/>
        </w:rPr>
      </w:pPr>
      <w:r w:rsidRPr="001A16A0">
        <w:rPr>
          <w:rFonts w:cstheme="minorHAnsi"/>
          <w:sz w:val="24"/>
          <w:szCs w:val="24"/>
          <w:lang w:val="sr-Cyrl-RS"/>
        </w:rPr>
        <w:t xml:space="preserve">Управа царина Реублике Србије је дана 13. маја 2026. године путем електронске поште примила допис царинске администрације Румуније (акт број 18937/2 од 12.05.2026. године) у вези са статусом имплементације система </w:t>
      </w:r>
      <w:r w:rsidRPr="001A16A0">
        <w:rPr>
          <w:rFonts w:cstheme="minorHAnsi"/>
          <w:sz w:val="24"/>
          <w:szCs w:val="24"/>
        </w:rPr>
        <w:t>NCTS</w:t>
      </w:r>
      <w:r w:rsidRPr="001A16A0">
        <w:rPr>
          <w:rFonts w:cstheme="minorHAnsi"/>
          <w:sz w:val="24"/>
          <w:szCs w:val="24"/>
          <w:lang w:val="sr-Cyrl-RS"/>
        </w:rPr>
        <w:t xml:space="preserve">, фаза 6 у тој земљи, као и у вези са процедуром уласка робе у ЕУ за друмски и железнички саобраћај преко територије Румуније, употребом система </w:t>
      </w:r>
      <w:r w:rsidRPr="001A16A0">
        <w:rPr>
          <w:rFonts w:cstheme="minorHAnsi"/>
          <w:sz w:val="24"/>
          <w:szCs w:val="24"/>
        </w:rPr>
        <w:t>NCTS</w:t>
      </w:r>
      <w:r w:rsidRPr="001A16A0">
        <w:rPr>
          <w:rFonts w:cstheme="minorHAnsi"/>
          <w:sz w:val="24"/>
          <w:szCs w:val="24"/>
          <w:lang w:val="sr-Cyrl-RS"/>
        </w:rPr>
        <w:t>, фаза 6/</w:t>
      </w:r>
      <w:r w:rsidRPr="001A16A0">
        <w:rPr>
          <w:rFonts w:cstheme="minorHAnsi"/>
          <w:sz w:val="24"/>
          <w:szCs w:val="24"/>
        </w:rPr>
        <w:t>ICS2</w:t>
      </w:r>
      <w:r w:rsidRPr="001A16A0">
        <w:rPr>
          <w:rFonts w:cstheme="minorHAnsi"/>
          <w:sz w:val="24"/>
          <w:szCs w:val="24"/>
          <w:lang w:val="sr-Cyrl-RS"/>
        </w:rPr>
        <w:t>, фаза 3.</w:t>
      </w:r>
    </w:p>
    <w:p w:rsidR="00C26FF3" w:rsidRPr="001A16A0" w:rsidRDefault="00C26FF3" w:rsidP="001A16A0">
      <w:pPr>
        <w:spacing w:after="0" w:line="240" w:lineRule="auto"/>
        <w:ind w:firstLine="720"/>
        <w:jc w:val="both"/>
        <w:rPr>
          <w:rFonts w:cstheme="minorHAnsi"/>
          <w:sz w:val="24"/>
          <w:szCs w:val="24"/>
          <w:lang w:val="sr-Cyrl-RS"/>
        </w:rPr>
      </w:pPr>
    </w:p>
    <w:p w:rsidR="001A16A0" w:rsidRPr="001A16A0" w:rsidRDefault="001A16A0" w:rsidP="00D73C9C">
      <w:pPr>
        <w:spacing w:after="0" w:line="240" w:lineRule="auto"/>
        <w:jc w:val="both"/>
        <w:rPr>
          <w:rFonts w:cstheme="minorHAnsi"/>
          <w:sz w:val="24"/>
          <w:szCs w:val="24"/>
          <w:lang w:val="sr-Cyrl-RS"/>
        </w:rPr>
      </w:pPr>
      <w:r w:rsidRPr="001A16A0">
        <w:rPr>
          <w:rFonts w:cstheme="minorHAnsi"/>
          <w:sz w:val="24"/>
          <w:szCs w:val="24"/>
          <w:lang w:val="sr-Cyrl-RS"/>
        </w:rPr>
        <w:t xml:space="preserve">У наведеном допису, царинска администрација Румуније је обавестила ову управу </w:t>
      </w:r>
      <w:r w:rsidRPr="001A16A0">
        <w:rPr>
          <w:rFonts w:cstheme="minorHAnsi"/>
          <w:b/>
          <w:sz w:val="24"/>
          <w:szCs w:val="24"/>
          <w:lang w:val="sr-Cyrl-RS"/>
        </w:rPr>
        <w:t xml:space="preserve">да ће од 25. маја 2026. године функционисати као </w:t>
      </w:r>
      <w:r w:rsidRPr="001A16A0">
        <w:rPr>
          <w:rFonts w:cstheme="minorHAnsi"/>
          <w:b/>
          <w:sz w:val="24"/>
          <w:szCs w:val="24"/>
          <w:lang w:val="sr-Latn-RS"/>
        </w:rPr>
        <w:t>„OPT-OUT“</w:t>
      </w:r>
      <w:r w:rsidRPr="001A16A0">
        <w:rPr>
          <w:rFonts w:cstheme="minorHAnsi"/>
          <w:b/>
          <w:sz w:val="24"/>
          <w:szCs w:val="24"/>
          <w:lang w:val="sr-Cyrl-RS"/>
        </w:rPr>
        <w:t xml:space="preserve">  земља</w:t>
      </w:r>
      <w:r w:rsidRPr="001A16A0">
        <w:rPr>
          <w:rFonts w:cstheme="minorHAnsi"/>
          <w:sz w:val="24"/>
          <w:szCs w:val="24"/>
          <w:lang w:val="sr-Cyrl-RS"/>
        </w:rPr>
        <w:t>, с обзиром да неће бити у могућности да д</w:t>
      </w:r>
      <w:r w:rsidRPr="001A16A0">
        <w:rPr>
          <w:rFonts w:cstheme="minorHAnsi"/>
          <w:sz w:val="24"/>
          <w:szCs w:val="24"/>
          <w:lang w:val="sr-Latn-RS"/>
        </w:rPr>
        <w:t xml:space="preserve">о 1. јуна 2026. године </w:t>
      </w:r>
      <w:r w:rsidRPr="001A16A0">
        <w:rPr>
          <w:rFonts w:cstheme="minorHAnsi"/>
          <w:sz w:val="24"/>
          <w:szCs w:val="24"/>
          <w:lang w:val="sr-Cyrl-RS"/>
        </w:rPr>
        <w:t>заврши имплементацију „</w:t>
      </w:r>
      <w:r w:rsidRPr="001A16A0">
        <w:rPr>
          <w:rFonts w:cstheme="minorHAnsi"/>
          <w:sz w:val="24"/>
          <w:szCs w:val="24"/>
        </w:rPr>
        <w:t>OPT-IN</w:t>
      </w:r>
      <w:r w:rsidRPr="001A16A0">
        <w:rPr>
          <w:rFonts w:cstheme="minorHAnsi"/>
          <w:sz w:val="24"/>
          <w:szCs w:val="24"/>
          <w:lang w:val="sr-Cyrl-RS"/>
        </w:rPr>
        <w:t xml:space="preserve">“ верзије система </w:t>
      </w:r>
      <w:r w:rsidRPr="001A16A0">
        <w:rPr>
          <w:rFonts w:cstheme="minorHAnsi"/>
          <w:sz w:val="24"/>
          <w:szCs w:val="24"/>
          <w:lang w:val="sr-Latn-RS"/>
        </w:rPr>
        <w:t>NCTS</w:t>
      </w:r>
      <w:r w:rsidRPr="001A16A0">
        <w:rPr>
          <w:rFonts w:cstheme="minorHAnsi"/>
          <w:sz w:val="24"/>
          <w:szCs w:val="24"/>
          <w:lang w:val="sr-Cyrl-RS"/>
        </w:rPr>
        <w:t>, фаза 6.</w:t>
      </w:r>
    </w:p>
    <w:p w:rsidR="001A16A0" w:rsidRPr="001A16A0" w:rsidRDefault="001A16A0" w:rsidP="001A16A0">
      <w:pPr>
        <w:spacing w:after="0" w:line="240" w:lineRule="auto"/>
        <w:ind w:firstLine="720"/>
        <w:jc w:val="both"/>
        <w:rPr>
          <w:rFonts w:cstheme="minorHAnsi"/>
          <w:sz w:val="24"/>
          <w:szCs w:val="24"/>
          <w:lang w:val="sr-Cyrl-RS"/>
        </w:rPr>
      </w:pPr>
    </w:p>
    <w:p w:rsidR="001A16A0" w:rsidRPr="001A16A0" w:rsidRDefault="001A16A0" w:rsidP="00D73C9C">
      <w:pPr>
        <w:spacing w:after="0" w:line="240" w:lineRule="auto"/>
        <w:jc w:val="both"/>
        <w:rPr>
          <w:rFonts w:cstheme="minorHAnsi"/>
          <w:sz w:val="24"/>
          <w:szCs w:val="24"/>
          <w:lang w:val="sr-Cyrl-RS"/>
        </w:rPr>
      </w:pPr>
      <w:bookmarkStart w:id="0" w:name="_GoBack"/>
      <w:bookmarkEnd w:id="0"/>
      <w:r w:rsidRPr="001A16A0">
        <w:rPr>
          <w:rFonts w:cstheme="minorHAnsi"/>
          <w:sz w:val="24"/>
          <w:szCs w:val="24"/>
          <w:lang w:val="sr-Cyrl-RS"/>
        </w:rPr>
        <w:t>Имајући у виду претходно наведено, потребно је разликовати следеће ситуације:</w:t>
      </w:r>
    </w:p>
    <w:p w:rsidR="001A16A0" w:rsidRPr="001A16A0" w:rsidRDefault="001A16A0" w:rsidP="001A16A0">
      <w:pPr>
        <w:spacing w:after="0" w:line="240" w:lineRule="auto"/>
        <w:ind w:firstLine="720"/>
        <w:jc w:val="both"/>
        <w:rPr>
          <w:rFonts w:cstheme="minorHAnsi"/>
          <w:sz w:val="24"/>
          <w:szCs w:val="24"/>
          <w:lang w:val="sr-Cyrl-RS"/>
        </w:rPr>
      </w:pPr>
    </w:p>
    <w:p w:rsidR="001A16A0" w:rsidRPr="001A16A0" w:rsidRDefault="001A16A0" w:rsidP="001A16A0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cstheme="minorHAnsi"/>
          <w:sz w:val="24"/>
          <w:szCs w:val="24"/>
          <w:lang w:val="sr-Cyrl-RS"/>
        </w:rPr>
      </w:pPr>
      <w:r w:rsidRPr="001A16A0">
        <w:rPr>
          <w:rFonts w:cstheme="minorHAnsi"/>
          <w:sz w:val="24"/>
          <w:szCs w:val="24"/>
          <w:lang w:val="sr-Cyrl-RS"/>
        </w:rPr>
        <w:t xml:space="preserve">За робу која улази на територију Европске уније, а која је обухваћена транзитном декларацијом или ТИР карнетом издатим у </w:t>
      </w:r>
      <w:proofErr w:type="spellStart"/>
      <w:r w:rsidRPr="001A16A0">
        <w:rPr>
          <w:rFonts w:eastAsia="Times New Roman" w:cstheme="minorHAnsi"/>
          <w:color w:val="0A0A0A"/>
          <w:sz w:val="24"/>
          <w:szCs w:val="24"/>
        </w:rPr>
        <w:t>Украјин</w:t>
      </w:r>
      <w:proofErr w:type="spellEnd"/>
      <w:r w:rsidRPr="001A16A0">
        <w:rPr>
          <w:rFonts w:eastAsia="Times New Roman" w:cstheme="minorHAnsi"/>
          <w:color w:val="0A0A0A"/>
          <w:sz w:val="24"/>
          <w:szCs w:val="24"/>
          <w:lang w:val="sr-Cyrl-RS"/>
        </w:rPr>
        <w:t>и</w:t>
      </w:r>
      <w:r w:rsidRPr="001A16A0">
        <w:rPr>
          <w:rFonts w:cstheme="minorHAnsi"/>
          <w:sz w:val="24"/>
          <w:szCs w:val="24"/>
          <w:lang w:val="sr-Cyrl-RS"/>
        </w:rPr>
        <w:t xml:space="preserve">, </w:t>
      </w:r>
      <w:proofErr w:type="spellStart"/>
      <w:r w:rsidRPr="001A16A0">
        <w:rPr>
          <w:rFonts w:eastAsia="Times New Roman" w:cstheme="minorHAnsi"/>
          <w:bCs/>
          <w:color w:val="0A0A0A"/>
          <w:sz w:val="24"/>
          <w:szCs w:val="24"/>
        </w:rPr>
        <w:t>Републи</w:t>
      </w:r>
      <w:proofErr w:type="spellEnd"/>
      <w:r w:rsidRPr="001A16A0">
        <w:rPr>
          <w:rFonts w:eastAsia="Times New Roman" w:cstheme="minorHAnsi"/>
          <w:bCs/>
          <w:color w:val="0A0A0A"/>
          <w:sz w:val="24"/>
          <w:szCs w:val="24"/>
          <w:lang w:val="sr-Cyrl-RS"/>
        </w:rPr>
        <w:t>ци</w:t>
      </w:r>
      <w:r w:rsidRPr="001A16A0">
        <w:rPr>
          <w:rFonts w:eastAsia="Times New Roman" w:cstheme="minorHAnsi"/>
          <w:bCs/>
          <w:color w:val="0A0A0A"/>
          <w:sz w:val="24"/>
          <w:szCs w:val="24"/>
        </w:rPr>
        <w:t xml:space="preserve"> </w:t>
      </w:r>
      <w:proofErr w:type="spellStart"/>
      <w:r w:rsidRPr="001A16A0">
        <w:rPr>
          <w:rFonts w:eastAsia="Times New Roman" w:cstheme="minorHAnsi"/>
          <w:bCs/>
          <w:color w:val="0A0A0A"/>
          <w:sz w:val="24"/>
          <w:szCs w:val="24"/>
        </w:rPr>
        <w:t>Молдавиј</w:t>
      </w:r>
      <w:proofErr w:type="spellEnd"/>
      <w:r w:rsidRPr="001A16A0">
        <w:rPr>
          <w:rFonts w:eastAsia="Times New Roman" w:cstheme="minorHAnsi"/>
          <w:bCs/>
          <w:color w:val="0A0A0A"/>
          <w:sz w:val="24"/>
          <w:szCs w:val="24"/>
          <w:lang w:val="sr-Cyrl-RS"/>
        </w:rPr>
        <w:t xml:space="preserve">и </w:t>
      </w:r>
      <w:r w:rsidRPr="001A16A0">
        <w:rPr>
          <w:rFonts w:cstheme="minorHAnsi"/>
          <w:sz w:val="24"/>
          <w:szCs w:val="24"/>
          <w:lang w:val="sr-Cyrl-RS"/>
        </w:rPr>
        <w:t>или Републици Србији, обавезно је подношење улазне сажете декларације (ENS) у систему ICS2, у роковима прописаним члановима 107, 108. и 109. Делегиране уредбе Комисије (ЕУ) 2015/2446, и то:</w:t>
      </w:r>
    </w:p>
    <w:p w:rsidR="001A16A0" w:rsidRPr="001A16A0" w:rsidRDefault="001A16A0" w:rsidP="001A16A0">
      <w:pPr>
        <w:shd w:val="clear" w:color="auto" w:fill="FFFFFF"/>
        <w:spacing w:after="0" w:line="240" w:lineRule="auto"/>
        <w:ind w:left="720"/>
        <w:jc w:val="both"/>
        <w:rPr>
          <w:rFonts w:cstheme="minorHAnsi"/>
          <w:sz w:val="24"/>
          <w:szCs w:val="24"/>
          <w:lang w:val="sr-Cyrl-RS"/>
        </w:rPr>
      </w:pPr>
    </w:p>
    <w:p w:rsidR="001A16A0" w:rsidRPr="001A16A0" w:rsidRDefault="001A16A0" w:rsidP="001A16A0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cstheme="minorHAnsi"/>
          <w:sz w:val="24"/>
          <w:szCs w:val="24"/>
          <w:lang w:val="sr-Cyrl-RS"/>
        </w:rPr>
      </w:pPr>
      <w:r w:rsidRPr="001A16A0">
        <w:rPr>
          <w:rFonts w:cstheme="minorHAnsi"/>
          <w:sz w:val="24"/>
          <w:szCs w:val="24"/>
          <w:lang w:val="sr-Cyrl-RS"/>
        </w:rPr>
        <w:t>ако се роба уноси у царинско подручје Европске уније у железничком саобраћају, улазна  сажета декларација посноси се у следећим роковима:</w:t>
      </w:r>
    </w:p>
    <w:p w:rsidR="001A16A0" w:rsidRPr="001A16A0" w:rsidRDefault="001A16A0" w:rsidP="001A16A0">
      <w:pPr>
        <w:shd w:val="clear" w:color="auto" w:fill="FFFFFF"/>
        <w:spacing w:after="0" w:line="240" w:lineRule="auto"/>
        <w:ind w:firstLine="720"/>
        <w:jc w:val="both"/>
        <w:rPr>
          <w:rFonts w:cstheme="minorHAnsi"/>
          <w:sz w:val="24"/>
          <w:szCs w:val="24"/>
          <w:lang w:val="sr-Cyrl-RS"/>
        </w:rPr>
      </w:pPr>
    </w:p>
    <w:p w:rsidR="001A16A0" w:rsidRPr="001A16A0" w:rsidRDefault="001A16A0" w:rsidP="001A16A0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cstheme="minorHAnsi"/>
          <w:sz w:val="24"/>
          <w:szCs w:val="24"/>
          <w:lang w:val="sr-Cyrl-RS"/>
        </w:rPr>
      </w:pPr>
      <w:r w:rsidRPr="001A16A0">
        <w:rPr>
          <w:rFonts w:cstheme="minorHAnsi"/>
          <w:sz w:val="24"/>
          <w:szCs w:val="24"/>
          <w:lang w:val="sr-Cyrl-RS"/>
        </w:rPr>
        <w:t>ако путовање возом од последње железничке станице која се налази у трећој земљи до царинске испоставе првог уласка траје мање од два сата, најкасније један сат пре доласка робе на место за које је надлежна та царинска истпостава;</w:t>
      </w:r>
    </w:p>
    <w:p w:rsidR="001A16A0" w:rsidRPr="001A16A0" w:rsidRDefault="001A16A0" w:rsidP="001A16A0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ind w:left="1497" w:hanging="357"/>
        <w:jc w:val="both"/>
        <w:rPr>
          <w:rFonts w:cstheme="minorHAnsi"/>
          <w:sz w:val="24"/>
          <w:szCs w:val="24"/>
          <w:lang w:val="sr-Cyrl-RS"/>
        </w:rPr>
      </w:pPr>
      <w:r w:rsidRPr="001A16A0">
        <w:rPr>
          <w:rFonts w:cstheme="minorHAnsi"/>
          <w:sz w:val="24"/>
          <w:szCs w:val="24"/>
          <w:lang w:val="sr-Cyrl-RS"/>
        </w:rPr>
        <w:t>у свим осталим случајевима, најкасније два сата пре доласка робе на место за које је надлежна царинска испоства првог уласка.</w:t>
      </w:r>
    </w:p>
    <w:p w:rsidR="001A16A0" w:rsidRPr="001A16A0" w:rsidRDefault="001A16A0" w:rsidP="001A16A0">
      <w:pPr>
        <w:shd w:val="clear" w:color="auto" w:fill="FFFFFF"/>
        <w:spacing w:after="0" w:line="240" w:lineRule="auto"/>
        <w:ind w:left="1140"/>
        <w:jc w:val="both"/>
        <w:rPr>
          <w:rFonts w:cstheme="minorHAnsi"/>
          <w:sz w:val="24"/>
          <w:szCs w:val="24"/>
          <w:lang w:val="sr-Cyrl-RS"/>
        </w:rPr>
      </w:pPr>
    </w:p>
    <w:p w:rsidR="001A16A0" w:rsidRPr="001A16A0" w:rsidRDefault="001A16A0" w:rsidP="001A16A0">
      <w:pPr>
        <w:shd w:val="clear" w:color="auto" w:fill="FFFFFF"/>
        <w:spacing w:after="0" w:line="240" w:lineRule="auto"/>
        <w:ind w:left="1134" w:hanging="1134"/>
        <w:jc w:val="both"/>
        <w:rPr>
          <w:rFonts w:cstheme="minorHAnsi"/>
          <w:sz w:val="24"/>
          <w:szCs w:val="24"/>
          <w:lang w:val="sr-Cyrl-RS"/>
        </w:rPr>
      </w:pPr>
      <w:r w:rsidRPr="001A16A0">
        <w:rPr>
          <w:rFonts w:cstheme="minorHAnsi"/>
          <w:sz w:val="24"/>
          <w:szCs w:val="24"/>
          <w:lang w:val="sr-Cyrl-RS"/>
        </w:rPr>
        <w:t xml:space="preserve">             б)  ако се роба уноси у царинско продручје Европске уније у друмском саобраћају, улазна сажета декларација подноси се најкасније један сат пре доласка робе на место за које је надлежна царинска испостава првог уласка;</w:t>
      </w:r>
    </w:p>
    <w:p w:rsidR="001A16A0" w:rsidRPr="001A16A0" w:rsidRDefault="001A16A0" w:rsidP="001A16A0">
      <w:pPr>
        <w:shd w:val="clear" w:color="auto" w:fill="FFFFFF"/>
        <w:spacing w:after="0" w:line="240" w:lineRule="auto"/>
        <w:ind w:left="810" w:hanging="90"/>
        <w:jc w:val="both"/>
        <w:rPr>
          <w:rFonts w:cstheme="minorHAnsi"/>
          <w:sz w:val="24"/>
          <w:szCs w:val="24"/>
          <w:lang w:val="sr-Cyrl-RS"/>
        </w:rPr>
      </w:pPr>
    </w:p>
    <w:p w:rsidR="001A16A0" w:rsidRPr="001A16A0" w:rsidRDefault="001A16A0" w:rsidP="001A16A0">
      <w:pPr>
        <w:shd w:val="clear" w:color="auto" w:fill="FFFFFF"/>
        <w:spacing w:after="0" w:line="240" w:lineRule="auto"/>
        <w:ind w:left="1134" w:hanging="1134"/>
        <w:jc w:val="both"/>
        <w:rPr>
          <w:rFonts w:cstheme="minorHAnsi"/>
          <w:sz w:val="24"/>
          <w:szCs w:val="24"/>
          <w:lang w:val="sr-Cyrl-RS"/>
        </w:rPr>
      </w:pPr>
      <w:r w:rsidRPr="001A16A0">
        <w:rPr>
          <w:rFonts w:cstheme="minorHAnsi"/>
          <w:sz w:val="24"/>
          <w:szCs w:val="24"/>
          <w:lang w:val="sr-Cyrl-RS"/>
        </w:rPr>
        <w:t xml:space="preserve">             в)  ако се роба уноси у царинско продручје Европске уније унутрашњим пловним   путевима, улазна сажета декларација подноси се најкасније два сата пре доласка робе на место за које је надлежна царинска испостава првог уласка;</w:t>
      </w:r>
    </w:p>
    <w:p w:rsidR="001A16A0" w:rsidRPr="001A16A0" w:rsidRDefault="001A16A0" w:rsidP="001A16A0">
      <w:pPr>
        <w:shd w:val="clear" w:color="auto" w:fill="FFFFFF"/>
        <w:spacing w:after="0" w:line="240" w:lineRule="auto"/>
        <w:ind w:left="810" w:hanging="90"/>
        <w:jc w:val="both"/>
        <w:rPr>
          <w:rFonts w:cstheme="minorHAnsi"/>
          <w:sz w:val="24"/>
          <w:szCs w:val="24"/>
          <w:lang w:val="sr-Cyrl-RS"/>
        </w:rPr>
      </w:pPr>
    </w:p>
    <w:p w:rsidR="001A16A0" w:rsidRPr="001A16A0" w:rsidRDefault="001A16A0" w:rsidP="001A16A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  <w:lang w:val="sr-Cyrl-RS"/>
        </w:rPr>
      </w:pPr>
      <w:r w:rsidRPr="001A16A0">
        <w:rPr>
          <w:rFonts w:cstheme="minorHAnsi"/>
          <w:sz w:val="24"/>
          <w:szCs w:val="24"/>
          <w:lang w:val="sr-Cyrl-RS"/>
        </w:rPr>
        <w:t xml:space="preserve">За робу која улази на територију Европске уније без транзитне декларације,  </w:t>
      </w:r>
    </w:p>
    <w:p w:rsidR="001A16A0" w:rsidRPr="001A16A0" w:rsidRDefault="001A16A0" w:rsidP="001A16A0">
      <w:pPr>
        <w:pStyle w:val="ListParagraph"/>
        <w:spacing w:after="0" w:line="240" w:lineRule="auto"/>
        <w:ind w:left="1080"/>
        <w:jc w:val="both"/>
        <w:rPr>
          <w:rFonts w:cstheme="minorHAnsi"/>
          <w:sz w:val="24"/>
          <w:szCs w:val="24"/>
          <w:lang w:val="sr-Cyrl-RS"/>
        </w:rPr>
      </w:pPr>
      <w:r w:rsidRPr="001A16A0">
        <w:rPr>
          <w:rFonts w:cstheme="minorHAnsi"/>
          <w:sz w:val="24"/>
          <w:szCs w:val="24"/>
          <w:lang w:val="sr-Cyrl-RS"/>
        </w:rPr>
        <w:t>обавезни су следећи кораци:</w:t>
      </w:r>
    </w:p>
    <w:p w:rsidR="001A16A0" w:rsidRPr="001A16A0" w:rsidRDefault="001A16A0" w:rsidP="001A16A0">
      <w:pPr>
        <w:pStyle w:val="ListParagraph"/>
        <w:spacing w:after="0" w:line="240" w:lineRule="auto"/>
        <w:ind w:left="1080"/>
        <w:jc w:val="both"/>
        <w:rPr>
          <w:rFonts w:cstheme="minorHAnsi"/>
          <w:sz w:val="24"/>
          <w:szCs w:val="24"/>
          <w:lang w:val="sr-Cyrl-RS"/>
        </w:rPr>
      </w:pPr>
    </w:p>
    <w:p w:rsidR="001A16A0" w:rsidRPr="001A16A0" w:rsidRDefault="001A16A0" w:rsidP="001A16A0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cstheme="minorHAnsi"/>
          <w:sz w:val="24"/>
          <w:szCs w:val="24"/>
          <w:lang w:val="sr-Cyrl-RS"/>
        </w:rPr>
      </w:pPr>
      <w:r w:rsidRPr="001A16A0">
        <w:rPr>
          <w:rFonts w:cstheme="minorHAnsi"/>
          <w:sz w:val="24"/>
          <w:szCs w:val="24"/>
          <w:lang w:val="sr-Cyrl-RS"/>
        </w:rPr>
        <w:lastRenderedPageBreak/>
        <w:t>подношење улазне сажете декларације (ENS) у систему ICS2, у роковима наведеним у тачки 1),</w:t>
      </w:r>
    </w:p>
    <w:p w:rsidR="001A16A0" w:rsidRPr="001A16A0" w:rsidRDefault="001A16A0" w:rsidP="001A16A0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cstheme="minorHAnsi"/>
          <w:sz w:val="24"/>
          <w:szCs w:val="24"/>
          <w:lang w:val="sr-Cyrl-RS"/>
        </w:rPr>
      </w:pPr>
      <w:r w:rsidRPr="001A16A0">
        <w:rPr>
          <w:rFonts w:cstheme="minorHAnsi"/>
          <w:sz w:val="24"/>
          <w:szCs w:val="24"/>
          <w:lang w:val="sr-Cyrl-RS"/>
        </w:rPr>
        <w:t xml:space="preserve">подношење обавештења о допреми робе у систему </w:t>
      </w:r>
      <w:r w:rsidRPr="001A16A0">
        <w:rPr>
          <w:rFonts w:cstheme="minorHAnsi"/>
          <w:sz w:val="24"/>
          <w:szCs w:val="24"/>
        </w:rPr>
        <w:t xml:space="preserve">TSD-PN </w:t>
      </w:r>
      <w:r w:rsidRPr="001A16A0">
        <w:rPr>
          <w:rFonts w:cstheme="minorHAnsi"/>
          <w:sz w:val="24"/>
          <w:szCs w:val="24"/>
          <w:lang w:val="sr-Cyrl-RS"/>
        </w:rPr>
        <w:t>царинске администрације Румуније (систем за подношење декларација за привремени смештај робе, односно обавештења о допреми робе), у складу са чланом 139. Царинског закона Уније,</w:t>
      </w:r>
    </w:p>
    <w:p w:rsidR="001A16A0" w:rsidRPr="001A16A0" w:rsidRDefault="001A16A0" w:rsidP="001A16A0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cstheme="minorHAnsi"/>
          <w:sz w:val="24"/>
          <w:szCs w:val="24"/>
          <w:lang w:val="sr-Cyrl-RS"/>
        </w:rPr>
      </w:pPr>
      <w:r w:rsidRPr="001A16A0">
        <w:rPr>
          <w:rFonts w:cstheme="minorHAnsi"/>
          <w:sz w:val="24"/>
          <w:szCs w:val="24"/>
          <w:lang w:val="sr-Cyrl-RS"/>
        </w:rPr>
        <w:t xml:space="preserve">подношење транзитне декларације (без података о сигурности и безбедности, тј. без </w:t>
      </w:r>
      <w:r w:rsidRPr="001A16A0">
        <w:rPr>
          <w:rFonts w:cstheme="minorHAnsi"/>
          <w:sz w:val="24"/>
          <w:szCs w:val="24"/>
        </w:rPr>
        <w:t>ENS</w:t>
      </w:r>
      <w:r w:rsidRPr="001A16A0">
        <w:rPr>
          <w:rFonts w:cstheme="minorHAnsi"/>
          <w:sz w:val="24"/>
          <w:szCs w:val="24"/>
          <w:lang w:val="sr-Cyrl-RS"/>
        </w:rPr>
        <w:t>) код полазне царинске испоставе у NCTS систему румунске царинске администрације.</w:t>
      </w:r>
    </w:p>
    <w:p w:rsidR="001A16A0" w:rsidRPr="001A16A0" w:rsidRDefault="001A16A0" w:rsidP="001A16A0">
      <w:pPr>
        <w:pStyle w:val="ListParagraph"/>
        <w:spacing w:after="0" w:line="240" w:lineRule="auto"/>
        <w:ind w:left="1500"/>
        <w:jc w:val="both"/>
        <w:rPr>
          <w:rFonts w:cstheme="minorHAnsi"/>
          <w:sz w:val="24"/>
          <w:szCs w:val="24"/>
          <w:lang w:val="sr-Cyrl-RS"/>
        </w:rPr>
      </w:pPr>
    </w:p>
    <w:p w:rsidR="001A16A0" w:rsidRPr="001A16A0" w:rsidRDefault="001A16A0" w:rsidP="001A16A0">
      <w:pPr>
        <w:spacing w:after="0" w:line="240" w:lineRule="auto"/>
        <w:jc w:val="both"/>
        <w:rPr>
          <w:rFonts w:cstheme="minorHAnsi"/>
          <w:sz w:val="24"/>
          <w:szCs w:val="24"/>
          <w:lang w:val="sr-Cyrl-RS"/>
        </w:rPr>
      </w:pPr>
      <w:r w:rsidRPr="001A16A0">
        <w:rPr>
          <w:rFonts w:cstheme="minorHAnsi"/>
          <w:sz w:val="24"/>
          <w:szCs w:val="24"/>
          <w:lang w:val="sr-Cyrl-RS"/>
        </w:rPr>
        <w:t xml:space="preserve">У закључку предметног дописа, напомиње се да ће за сву робу која се уноси са територије уговорне стране Конвенције о заједничком транзитном поступку на територију Европске уније, бити обавезно подношење улазне сажете декларације у систему </w:t>
      </w:r>
      <w:r w:rsidRPr="001A16A0">
        <w:rPr>
          <w:rFonts w:cstheme="minorHAnsi"/>
          <w:sz w:val="24"/>
          <w:szCs w:val="24"/>
          <w:lang w:val="sr-Latn-RS"/>
        </w:rPr>
        <w:t xml:space="preserve">ICS2 </w:t>
      </w:r>
      <w:r w:rsidRPr="001A16A0">
        <w:rPr>
          <w:rFonts w:cstheme="minorHAnsi"/>
          <w:sz w:val="24"/>
          <w:szCs w:val="24"/>
          <w:lang w:val="sr-Cyrl-RS"/>
        </w:rPr>
        <w:t xml:space="preserve">све до примене   </w:t>
      </w:r>
      <w:r w:rsidRPr="001A16A0">
        <w:rPr>
          <w:rFonts w:cstheme="minorHAnsi"/>
          <w:sz w:val="24"/>
          <w:szCs w:val="24"/>
          <w:lang w:val="sr-Latn-RS"/>
        </w:rPr>
        <w:t xml:space="preserve">OPT-IN </w:t>
      </w:r>
      <w:r w:rsidRPr="001A16A0">
        <w:rPr>
          <w:rFonts w:cstheme="minorHAnsi"/>
          <w:sz w:val="24"/>
          <w:szCs w:val="24"/>
          <w:lang w:val="sr-Cyrl-RS"/>
        </w:rPr>
        <w:t xml:space="preserve">верзије система </w:t>
      </w:r>
      <w:r w:rsidRPr="001A16A0">
        <w:rPr>
          <w:rFonts w:cstheme="minorHAnsi"/>
          <w:sz w:val="24"/>
          <w:szCs w:val="24"/>
          <w:lang w:val="sr-Latn-RS"/>
        </w:rPr>
        <w:t>NCTS</w:t>
      </w:r>
      <w:r w:rsidRPr="001A16A0">
        <w:rPr>
          <w:rFonts w:cstheme="minorHAnsi"/>
          <w:sz w:val="24"/>
          <w:szCs w:val="24"/>
          <w:lang w:val="sr-Cyrl-RS"/>
        </w:rPr>
        <w:t xml:space="preserve"> фаза 6. Додатно је наведено да царинска аминистрација Румуније улаже све напоре како би верзија </w:t>
      </w:r>
      <w:r w:rsidRPr="001A16A0">
        <w:rPr>
          <w:rFonts w:cstheme="minorHAnsi"/>
          <w:sz w:val="24"/>
          <w:szCs w:val="24"/>
        </w:rPr>
        <w:t xml:space="preserve">OPT-IN </w:t>
      </w:r>
      <w:r w:rsidRPr="001A16A0">
        <w:rPr>
          <w:rFonts w:cstheme="minorHAnsi"/>
          <w:sz w:val="24"/>
          <w:szCs w:val="24"/>
          <w:lang w:val="sr-Cyrl-RS"/>
        </w:rPr>
        <w:t>система</w:t>
      </w:r>
      <w:r w:rsidRPr="001A16A0">
        <w:rPr>
          <w:rFonts w:cstheme="minorHAnsi"/>
          <w:sz w:val="24"/>
          <w:szCs w:val="24"/>
        </w:rPr>
        <w:t xml:space="preserve"> NCTS</w:t>
      </w:r>
      <w:r w:rsidRPr="001A16A0">
        <w:rPr>
          <w:rFonts w:cstheme="minorHAnsi"/>
          <w:sz w:val="24"/>
          <w:szCs w:val="24"/>
          <w:lang w:val="sr-Cyrl-RS"/>
        </w:rPr>
        <w:t xml:space="preserve"> фаза 6 била имплементирана што је пре могуће, чиме ће се пружити подршка привредним субјектима кроз поједностављење процедура декларисања робе.</w:t>
      </w:r>
    </w:p>
    <w:p w:rsidR="001A16A0" w:rsidRPr="001A16A0" w:rsidRDefault="001A16A0" w:rsidP="001A16A0">
      <w:pPr>
        <w:spacing w:after="0" w:line="240" w:lineRule="auto"/>
        <w:jc w:val="both"/>
        <w:rPr>
          <w:rFonts w:cstheme="minorHAnsi"/>
          <w:sz w:val="24"/>
          <w:szCs w:val="24"/>
          <w:lang w:val="sr-Cyrl-RS"/>
        </w:rPr>
      </w:pPr>
    </w:p>
    <w:p w:rsidR="001A16A0" w:rsidRDefault="001A16A0" w:rsidP="001A16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DA34D8" w:rsidRPr="00DA34D8" w:rsidRDefault="00DA34D8" w:rsidP="00701AA4">
      <w:pPr>
        <w:keepNext/>
        <w:spacing w:after="0" w:line="240" w:lineRule="auto"/>
        <w:ind w:firstLine="720"/>
        <w:jc w:val="both"/>
        <w:rPr>
          <w:rFonts w:cstheme="minorHAnsi"/>
          <w:sz w:val="24"/>
          <w:szCs w:val="24"/>
          <w:lang w:val="sr-Latn-RS"/>
        </w:rPr>
      </w:pPr>
    </w:p>
    <w:p w:rsidR="00DA34D8" w:rsidRPr="00DA34D8" w:rsidRDefault="00DA34D8" w:rsidP="00DA34D8">
      <w:pPr>
        <w:keepNext/>
        <w:spacing w:after="0" w:line="240" w:lineRule="auto"/>
        <w:rPr>
          <w:rFonts w:eastAsia="Times New Roman" w:cstheme="minorHAnsi"/>
          <w:b/>
          <w:bCs/>
          <w:sz w:val="24"/>
          <w:szCs w:val="24"/>
          <w:lang w:val="sr-Cyrl-RS"/>
        </w:rPr>
      </w:pPr>
      <w:r w:rsidRPr="0054638D">
        <w:rPr>
          <w:rFonts w:eastAsia="Times New Roman" w:cstheme="minorHAnsi"/>
          <w:b/>
          <w:bCs/>
          <w:sz w:val="24"/>
          <w:szCs w:val="24"/>
          <w:lang w:val="sr-Cyrl-RS"/>
        </w:rPr>
        <w:t xml:space="preserve">(Акт Управе царина број </w:t>
      </w:r>
      <w:r w:rsidR="0054638D" w:rsidRPr="0054638D">
        <w:rPr>
          <w:rStyle w:val="item"/>
          <w:rFonts w:cstheme="minorHAnsi"/>
          <w:b/>
          <w:sz w:val="24"/>
          <w:szCs w:val="24"/>
        </w:rPr>
        <w:t>002490594 2026 10521 005 007 000 001</w:t>
      </w:r>
      <w:r w:rsidRPr="0054638D">
        <w:rPr>
          <w:rFonts w:cstheme="minorHAnsi"/>
          <w:b/>
          <w:bCs/>
          <w:sz w:val="24"/>
          <w:szCs w:val="24"/>
          <w:lang w:val="sr-Cyrl-RS" w:eastAsia="sr-Latn-RS"/>
        </w:rPr>
        <w:t xml:space="preserve"> </w:t>
      </w:r>
      <w:r w:rsidR="0054638D">
        <w:rPr>
          <w:rFonts w:eastAsia="Times New Roman" w:cstheme="minorHAnsi"/>
          <w:b/>
          <w:bCs/>
          <w:sz w:val="24"/>
          <w:szCs w:val="24"/>
          <w:lang w:val="sr-Cyrl-RS"/>
        </w:rPr>
        <w:t>од 15.05</w:t>
      </w:r>
      <w:r w:rsidRPr="0054638D">
        <w:rPr>
          <w:rFonts w:eastAsia="Times New Roman" w:cstheme="minorHAnsi"/>
          <w:b/>
          <w:bCs/>
          <w:sz w:val="24"/>
          <w:szCs w:val="24"/>
          <w:lang w:val="sr-Cyrl-RS"/>
        </w:rPr>
        <w:t>.2026. године)</w:t>
      </w:r>
    </w:p>
    <w:p w:rsidR="00DA34D8" w:rsidRPr="00DA34D8" w:rsidRDefault="00DA34D8" w:rsidP="00DA34D8">
      <w:pPr>
        <w:keepNext/>
        <w:spacing w:after="0" w:line="240" w:lineRule="auto"/>
        <w:rPr>
          <w:rFonts w:cstheme="minorHAnsi"/>
          <w:b/>
          <w:sz w:val="24"/>
          <w:szCs w:val="24"/>
        </w:rPr>
      </w:pPr>
    </w:p>
    <w:p w:rsidR="00DA34D8" w:rsidRPr="00DA34D8" w:rsidRDefault="00DA34D8" w:rsidP="00DA34D8">
      <w:pPr>
        <w:jc w:val="both"/>
        <w:rPr>
          <w:rFonts w:cstheme="minorHAnsi"/>
          <w:sz w:val="24"/>
          <w:szCs w:val="24"/>
        </w:rPr>
      </w:pPr>
    </w:p>
    <w:p w:rsidR="00DA34D8" w:rsidRPr="00DA34D8" w:rsidRDefault="00DA34D8" w:rsidP="00DA34D8">
      <w:pPr>
        <w:shd w:val="clear" w:color="auto" w:fill="055797"/>
        <w:spacing w:after="0" w:line="240" w:lineRule="auto"/>
        <w:jc w:val="right"/>
        <w:rPr>
          <w:rFonts w:eastAsia="Times New Roman" w:cstheme="minorHAnsi"/>
          <w:b/>
          <w:bCs/>
          <w:color w:val="FFFFFF"/>
          <w:sz w:val="24"/>
          <w:szCs w:val="24"/>
        </w:rPr>
      </w:pPr>
      <w:proofErr w:type="spellStart"/>
      <w:r w:rsidRPr="00DA34D8">
        <w:rPr>
          <w:rFonts w:eastAsia="Times New Roman" w:cstheme="minorHAnsi"/>
          <w:b/>
          <w:bCs/>
          <w:color w:val="FFFFFF"/>
          <w:sz w:val="24"/>
          <w:szCs w:val="24"/>
        </w:rPr>
        <w:t>Управа</w:t>
      </w:r>
      <w:proofErr w:type="spellEnd"/>
      <w:r w:rsidRPr="00DA34D8">
        <w:rPr>
          <w:rFonts w:eastAsia="Times New Roman" w:cstheme="minorHAnsi"/>
          <w:b/>
          <w:bCs/>
          <w:color w:val="FFFFFF"/>
          <w:sz w:val="24"/>
          <w:szCs w:val="24"/>
        </w:rPr>
        <w:t xml:space="preserve"> </w:t>
      </w:r>
      <w:proofErr w:type="spellStart"/>
      <w:r w:rsidRPr="00DA34D8">
        <w:rPr>
          <w:rFonts w:eastAsia="Times New Roman" w:cstheme="minorHAnsi"/>
          <w:b/>
          <w:bCs/>
          <w:color w:val="FFFFFF"/>
          <w:sz w:val="24"/>
          <w:szCs w:val="24"/>
        </w:rPr>
        <w:t>царина</w:t>
      </w:r>
      <w:proofErr w:type="spellEnd"/>
      <w:r w:rsidRPr="00DA34D8">
        <w:rPr>
          <w:rFonts w:eastAsia="Times New Roman" w:cstheme="minorHAnsi"/>
          <w:b/>
          <w:bCs/>
          <w:color w:val="FFFFFF"/>
          <w:sz w:val="24"/>
          <w:szCs w:val="24"/>
        </w:rPr>
        <w:t xml:space="preserve"> </w:t>
      </w:r>
      <w:proofErr w:type="spellStart"/>
      <w:r w:rsidRPr="00DA34D8">
        <w:rPr>
          <w:rFonts w:eastAsia="Times New Roman" w:cstheme="minorHAnsi"/>
          <w:b/>
          <w:bCs/>
          <w:color w:val="FFFFFF"/>
          <w:sz w:val="24"/>
          <w:szCs w:val="24"/>
        </w:rPr>
        <w:t>Републике</w:t>
      </w:r>
      <w:proofErr w:type="spellEnd"/>
      <w:r w:rsidRPr="00DA34D8">
        <w:rPr>
          <w:rFonts w:eastAsia="Times New Roman" w:cstheme="minorHAnsi"/>
          <w:b/>
          <w:bCs/>
          <w:color w:val="FFFFFF"/>
          <w:sz w:val="24"/>
          <w:szCs w:val="24"/>
        </w:rPr>
        <w:t xml:space="preserve"> </w:t>
      </w:r>
      <w:proofErr w:type="spellStart"/>
      <w:r w:rsidRPr="00DA34D8">
        <w:rPr>
          <w:rFonts w:eastAsia="Times New Roman" w:cstheme="minorHAnsi"/>
          <w:b/>
          <w:bCs/>
          <w:color w:val="FFFFFF"/>
          <w:sz w:val="24"/>
          <w:szCs w:val="24"/>
        </w:rPr>
        <w:t>Србије</w:t>
      </w:r>
      <w:proofErr w:type="spellEnd"/>
    </w:p>
    <w:p w:rsidR="00DA34D8" w:rsidRPr="00DA34D8" w:rsidRDefault="00DA34D8" w:rsidP="00DA34D8">
      <w:pPr>
        <w:shd w:val="clear" w:color="auto" w:fill="055797"/>
        <w:spacing w:line="240" w:lineRule="auto"/>
        <w:jc w:val="right"/>
        <w:rPr>
          <w:rFonts w:eastAsia="Times New Roman" w:cstheme="minorHAnsi"/>
          <w:color w:val="FFFFFF"/>
          <w:sz w:val="24"/>
          <w:szCs w:val="24"/>
        </w:rPr>
      </w:pPr>
      <w:proofErr w:type="spellStart"/>
      <w:r w:rsidRPr="00DA34D8">
        <w:rPr>
          <w:rFonts w:eastAsia="Times New Roman" w:cstheme="minorHAnsi"/>
          <w:color w:val="FFFFFF"/>
          <w:sz w:val="24"/>
          <w:szCs w:val="24"/>
        </w:rPr>
        <w:t>Министарство</w:t>
      </w:r>
      <w:proofErr w:type="spellEnd"/>
      <w:r w:rsidRPr="00DA34D8">
        <w:rPr>
          <w:rFonts w:eastAsia="Times New Roman" w:cstheme="minorHAnsi"/>
          <w:color w:val="FFFFFF"/>
          <w:sz w:val="24"/>
          <w:szCs w:val="24"/>
        </w:rPr>
        <w:t xml:space="preserve"> </w:t>
      </w:r>
      <w:proofErr w:type="spellStart"/>
      <w:r w:rsidRPr="00DA34D8">
        <w:rPr>
          <w:rFonts w:eastAsia="Times New Roman" w:cstheme="minorHAnsi"/>
          <w:color w:val="FFFFFF"/>
          <w:sz w:val="24"/>
          <w:szCs w:val="24"/>
        </w:rPr>
        <w:t>финансија</w:t>
      </w:r>
      <w:proofErr w:type="spellEnd"/>
    </w:p>
    <w:p w:rsidR="00DA34D8" w:rsidRPr="00DA34D8" w:rsidRDefault="00DA34D8" w:rsidP="00DA34D8">
      <w:pPr>
        <w:shd w:val="clear" w:color="auto" w:fill="FFFFFF"/>
        <w:spacing w:before="450" w:after="300" w:line="240" w:lineRule="auto"/>
        <w:jc w:val="right"/>
        <w:outlineLvl w:val="3"/>
        <w:rPr>
          <w:rFonts w:eastAsia="Times New Roman" w:cstheme="minorHAnsi"/>
          <w:b/>
          <w:bCs/>
          <w:color w:val="505A65"/>
          <w:sz w:val="24"/>
          <w:szCs w:val="24"/>
          <w:lang w:val="sr-Cyrl-RS"/>
        </w:rPr>
      </w:pPr>
      <w:r w:rsidRPr="00DA34D8">
        <w:rPr>
          <w:rFonts w:eastAsia="Times New Roman" w:cstheme="minorHAnsi"/>
          <w:b/>
          <w:bCs/>
          <w:color w:val="505A65"/>
          <w:sz w:val="24"/>
          <w:szCs w:val="24"/>
          <w:lang w:val="sr-Cyrl-RS"/>
        </w:rPr>
        <w:t xml:space="preserve">                                                              </w:t>
      </w:r>
      <w:r w:rsidRPr="00DA34D8">
        <w:rPr>
          <w:rFonts w:cstheme="minorHAnsi"/>
          <w:noProof/>
          <w:color w:val="1F497D"/>
          <w:sz w:val="24"/>
          <w:szCs w:val="24"/>
        </w:rPr>
        <w:drawing>
          <wp:inline distT="0" distB="0" distL="0" distR="0" wp14:anchorId="491C9323" wp14:editId="6845761C">
            <wp:extent cx="952500" cy="1019175"/>
            <wp:effectExtent l="0" t="0" r="0" b="9525"/>
            <wp:docPr id="3" name="Picture 3" descr="cid:image001.png@01D87BDE.B8DB5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87BDE.B8DB5E1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4D8" w:rsidRPr="00DA34D8" w:rsidRDefault="00DA34D8" w:rsidP="00701AA4">
      <w:pPr>
        <w:keepNext/>
        <w:spacing w:after="0" w:line="240" w:lineRule="auto"/>
        <w:ind w:firstLine="720"/>
        <w:jc w:val="both"/>
        <w:rPr>
          <w:rFonts w:cstheme="minorHAnsi"/>
          <w:sz w:val="24"/>
          <w:szCs w:val="24"/>
          <w:highlight w:val="yellow"/>
          <w:lang w:val="sr-Cyrl-RS"/>
        </w:rPr>
      </w:pPr>
    </w:p>
    <w:p w:rsidR="00227558" w:rsidRPr="00DA34D8" w:rsidRDefault="00227558" w:rsidP="00227558">
      <w:pPr>
        <w:spacing w:after="0" w:line="240" w:lineRule="auto"/>
        <w:jc w:val="both"/>
        <w:rPr>
          <w:rFonts w:cstheme="minorHAnsi"/>
          <w:sz w:val="24"/>
          <w:szCs w:val="24"/>
          <w:lang w:val="sr-Cyrl-RS"/>
        </w:rPr>
      </w:pPr>
    </w:p>
    <w:sectPr w:rsidR="00227558" w:rsidRPr="00DA34D8" w:rsidSect="0022755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70" w:right="1440" w:bottom="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7BD" w:rsidRDefault="009637BD" w:rsidP="001C63D5">
      <w:pPr>
        <w:spacing w:after="0" w:line="240" w:lineRule="auto"/>
      </w:pPr>
      <w:r>
        <w:separator/>
      </w:r>
    </w:p>
  </w:endnote>
  <w:endnote w:type="continuationSeparator" w:id="0">
    <w:p w:rsidR="009637BD" w:rsidRDefault="009637BD" w:rsidP="001C6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3D5" w:rsidRDefault="001C63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3D5" w:rsidRDefault="001C63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3D5" w:rsidRDefault="001C63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7BD" w:rsidRDefault="009637BD" w:rsidP="001C63D5">
      <w:pPr>
        <w:spacing w:after="0" w:line="240" w:lineRule="auto"/>
      </w:pPr>
      <w:r>
        <w:separator/>
      </w:r>
    </w:p>
  </w:footnote>
  <w:footnote w:type="continuationSeparator" w:id="0">
    <w:p w:rsidR="009637BD" w:rsidRDefault="009637BD" w:rsidP="001C63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3D5" w:rsidRDefault="001C63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3D5" w:rsidRDefault="001C63D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3D5" w:rsidRDefault="001C63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43D89"/>
    <w:multiLevelType w:val="hybridMultilevel"/>
    <w:tmpl w:val="985C9632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14C752CA"/>
    <w:multiLevelType w:val="hybridMultilevel"/>
    <w:tmpl w:val="2312E3F4"/>
    <w:lvl w:ilvl="0" w:tplc="7FCC37D4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0341EA2"/>
    <w:multiLevelType w:val="hybridMultilevel"/>
    <w:tmpl w:val="B2B09AB2"/>
    <w:lvl w:ilvl="0" w:tplc="54243FBE">
      <w:numFmt w:val="bullet"/>
      <w:lvlText w:val="-"/>
      <w:lvlJc w:val="left"/>
      <w:pPr>
        <w:ind w:left="12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5308342A"/>
    <w:multiLevelType w:val="hybridMultilevel"/>
    <w:tmpl w:val="58540D1C"/>
    <w:lvl w:ilvl="0" w:tplc="95F203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A505E1"/>
    <w:multiLevelType w:val="hybridMultilevel"/>
    <w:tmpl w:val="C8AACE40"/>
    <w:lvl w:ilvl="0" w:tplc="C98A59A6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58B1CAD"/>
    <w:multiLevelType w:val="hybridMultilevel"/>
    <w:tmpl w:val="97F6512C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558"/>
    <w:rsid w:val="0008367F"/>
    <w:rsid w:val="000A1A48"/>
    <w:rsid w:val="00100D87"/>
    <w:rsid w:val="00113EA3"/>
    <w:rsid w:val="00114287"/>
    <w:rsid w:val="001A16A0"/>
    <w:rsid w:val="001C63D5"/>
    <w:rsid w:val="00227558"/>
    <w:rsid w:val="00232466"/>
    <w:rsid w:val="00237EB3"/>
    <w:rsid w:val="003D302B"/>
    <w:rsid w:val="003E16CA"/>
    <w:rsid w:val="00493F16"/>
    <w:rsid w:val="004E0138"/>
    <w:rsid w:val="0054638D"/>
    <w:rsid w:val="005815C4"/>
    <w:rsid w:val="005A6998"/>
    <w:rsid w:val="00681657"/>
    <w:rsid w:val="006B0C15"/>
    <w:rsid w:val="00701AA4"/>
    <w:rsid w:val="00741D53"/>
    <w:rsid w:val="00915A73"/>
    <w:rsid w:val="009637BD"/>
    <w:rsid w:val="00984931"/>
    <w:rsid w:val="009A0AF6"/>
    <w:rsid w:val="009A56F7"/>
    <w:rsid w:val="009D3316"/>
    <w:rsid w:val="00A031FB"/>
    <w:rsid w:val="00B758FC"/>
    <w:rsid w:val="00B978B6"/>
    <w:rsid w:val="00C26FF3"/>
    <w:rsid w:val="00CB3DA2"/>
    <w:rsid w:val="00CC089C"/>
    <w:rsid w:val="00CD2BAC"/>
    <w:rsid w:val="00D15B80"/>
    <w:rsid w:val="00D73C9C"/>
    <w:rsid w:val="00D74807"/>
    <w:rsid w:val="00DA2B2F"/>
    <w:rsid w:val="00DA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BD000"/>
  <w15:chartTrackingRefBased/>
  <w15:docId w15:val="{38A41922-D29C-40A5-BF29-9C66A0805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5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7558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2275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75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55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C63D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3D5"/>
  </w:style>
  <w:style w:type="paragraph" w:styleId="Footer">
    <w:name w:val="footer"/>
    <w:basedOn w:val="Normal"/>
    <w:link w:val="FooterChar"/>
    <w:uiPriority w:val="99"/>
    <w:unhideWhenUsed/>
    <w:rsid w:val="001C63D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3D5"/>
  </w:style>
  <w:style w:type="character" w:customStyle="1" w:styleId="item">
    <w:name w:val="item"/>
    <w:basedOn w:val="DefaultParagraphFont"/>
    <w:rsid w:val="000A1A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3.png@01DA538A.A58DD92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Slobodan Ilic</dc:creator>
  <cp:keywords/>
  <dc:description/>
  <cp:lastModifiedBy>Hristina Vlatkovic</cp:lastModifiedBy>
  <cp:revision>29</cp:revision>
  <cp:lastPrinted>2026-05-15T06:26:00Z</cp:lastPrinted>
  <dcterms:created xsi:type="dcterms:W3CDTF">2025-02-27T11:23:00Z</dcterms:created>
  <dcterms:modified xsi:type="dcterms:W3CDTF">2026-05-15T10:36:00Z</dcterms:modified>
</cp:coreProperties>
</file>