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6E8" w:rsidRPr="00A346E8" w:rsidRDefault="00A346E8" w:rsidP="00A346E8">
      <w:pPr>
        <w:keepNext/>
        <w:keepLines/>
        <w:widowControl w:val="0"/>
        <w:ind w:left="1260" w:rightChars="302" w:right="725" w:hanging="1260"/>
        <w:jc w:val="both"/>
        <w:outlineLvl w:val="0"/>
        <w:rPr>
          <w:rFonts w:ascii="Times New Roman" w:hAnsi="Times New Roman"/>
          <w:b/>
          <w:vertAlign w:val="superscript"/>
          <w:lang w:val="sr-Cyrl-RS"/>
        </w:rPr>
      </w:pPr>
      <w:r>
        <w:rPr>
          <w:rFonts w:ascii="Times New Roman" w:hAnsi="Times New Roman"/>
          <w:b/>
          <w:lang w:val="sr-Cyrl-CS"/>
        </w:rPr>
        <w:t>Предмет:</w:t>
      </w:r>
      <w:r>
        <w:rPr>
          <w:rFonts w:ascii="Times New Roman" w:hAnsi="Times New Roman"/>
          <w:b/>
          <w:lang w:val="sr-Cyrl-CS"/>
        </w:rPr>
        <w:tab/>
        <w:t xml:space="preserve">Објашњење – јавна набавка број </w:t>
      </w:r>
      <w:r w:rsidR="00ED250B">
        <w:rPr>
          <w:rFonts w:ascii="Times New Roman" w:hAnsi="Times New Roman"/>
          <w:b/>
        </w:rPr>
        <w:t>54</w:t>
      </w:r>
      <w:r>
        <w:rPr>
          <w:rFonts w:ascii="Times New Roman" w:hAnsi="Times New Roman"/>
          <w:b/>
          <w:lang w:val="sr-Cyrl-CS"/>
        </w:rPr>
        <w:t>/1</w:t>
      </w:r>
      <w:r>
        <w:rPr>
          <w:rFonts w:ascii="Times New Roman" w:hAnsi="Times New Roman"/>
          <w:b/>
        </w:rPr>
        <w:t>8</w:t>
      </w:r>
      <w:r>
        <w:rPr>
          <w:rFonts w:ascii="Times New Roman" w:hAnsi="Times New Roman"/>
          <w:b/>
          <w:lang w:val="sr-Cyrl-CS"/>
        </w:rPr>
        <w:t xml:space="preserve">, чији је предмет набавка </w:t>
      </w:r>
      <w:r>
        <w:rPr>
          <w:rFonts w:ascii="Times New Roman" w:eastAsia="Batang" w:hAnsi="Times New Roman" w:cs="Tahoma"/>
          <w:b/>
          <w:lang w:val="sr-Cyrl-RS"/>
        </w:rPr>
        <w:t>софтвера за пословање и повезивање са постојећом базом података</w:t>
      </w:r>
    </w:p>
    <w:p w:rsidR="0083574A" w:rsidRDefault="0083574A">
      <w:pPr>
        <w:rPr>
          <w:noProof/>
        </w:rPr>
      </w:pPr>
    </w:p>
    <w:p w:rsidR="00A346E8" w:rsidRDefault="00A346E8">
      <w:pPr>
        <w:rPr>
          <w:noProof/>
        </w:rPr>
      </w:pPr>
    </w:p>
    <w:p w:rsidR="00A346E8" w:rsidRDefault="00A35D15">
      <w:r w:rsidRPr="00A35D15">
        <w:rPr>
          <w:noProof/>
        </w:rPr>
        <w:drawing>
          <wp:inline distT="0" distB="0" distL="0" distR="0">
            <wp:extent cx="5943600" cy="451227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4512273"/>
                    </a:xfrm>
                    <a:prstGeom prst="rect">
                      <a:avLst/>
                    </a:prstGeom>
                    <a:noFill/>
                    <a:ln>
                      <a:noFill/>
                    </a:ln>
                  </pic:spPr>
                </pic:pic>
              </a:graphicData>
            </a:graphic>
          </wp:inline>
        </w:drawing>
      </w:r>
    </w:p>
    <w:p w:rsidR="00A346E8" w:rsidRDefault="00A346E8"/>
    <w:p w:rsidR="00A346E8" w:rsidRDefault="00A346E8" w:rsidP="00A346E8">
      <w:pPr>
        <w:pStyle w:val="BodyText"/>
        <w:keepNext/>
        <w:keepLines/>
        <w:tabs>
          <w:tab w:val="left" w:pos="720"/>
          <w:tab w:val="center" w:pos="1080"/>
        </w:tabs>
        <w:rPr>
          <w:rFonts w:ascii="Times New Roman" w:hAnsi="Times New Roman"/>
          <w:b/>
          <w:lang w:val="ru-RU"/>
        </w:rPr>
      </w:pPr>
      <w:r>
        <w:rPr>
          <w:rFonts w:ascii="Times New Roman" w:hAnsi="Times New Roman"/>
          <w:b/>
          <w:lang w:val="ru-RU"/>
        </w:rPr>
        <w:t xml:space="preserve">                                                             О д г о в о р:</w:t>
      </w:r>
    </w:p>
    <w:p w:rsidR="0020634B" w:rsidRDefault="0020634B" w:rsidP="00A346E8">
      <w:pPr>
        <w:pStyle w:val="BodyText"/>
        <w:keepNext/>
        <w:keepLines/>
        <w:tabs>
          <w:tab w:val="left" w:pos="720"/>
          <w:tab w:val="center" w:pos="1080"/>
        </w:tabs>
        <w:rPr>
          <w:rFonts w:ascii="Times New Roman" w:hAnsi="Times New Roman"/>
          <w:b/>
          <w:lang w:val="ru-RU"/>
        </w:rPr>
      </w:pP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olor w:val="26282A"/>
        </w:rPr>
      </w:pPr>
      <w:r w:rsidRPr="00A35D15">
        <w:rPr>
          <w:rFonts w:ascii="Times New Roman" w:hAnsi="Times New Roman"/>
          <w:b/>
          <w:color w:val="26282A"/>
        </w:rPr>
        <w:t xml:space="preserve">1. Ликвидатура плаћања, Добављачи/Купци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Ликвидатура мора бити модул који ће подразумевати рад финансијске оперативе, односно потпуну реализацију обавеза према добављачима – од могућности завођења уговора (са свим описаним параметрима укључујући и анекс уговора), преко завођења улазног документа (предрачуна, рачуна, аванса...), опција штампе налога или генерисање електронских налога спремних за експорт у апликацију плаћања трезора (Халкома,...) па до коначног потврђивања плаћања изводом (аутоматско повезивање – препознавање уплата).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Све наведене кораке морају пратити и извештаји – Картице корисника, Картице ликвидатуре и низ других извештаја по задатим параметрима претраге.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Завођење докумената мора бити омогућено за различите ентитете, са различитим врстама налога, позивајући активну годину или претходне године.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У оквиру одвојеног сегмента је потребно да постоји могућност завођења уговора са потенцијалним купцем (уношење параметара уговора: датум, рокови, напомене, описи...), </w:t>
      </w:r>
      <w:r w:rsidRPr="00A35D15">
        <w:rPr>
          <w:rFonts w:ascii="Times New Roman" w:hAnsi="Times New Roman"/>
          <w:color w:val="26282A"/>
        </w:rPr>
        <w:lastRenderedPageBreak/>
        <w:t xml:space="preserve">аутоматско генерисање групних фактура, односно појединачно штампање фактура кроз налог фактуре, праћење задужења, аутоматско препознавање уплата са извода, као и извештавање по свим наведеним променама.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2. Трезор дискета  /XML плаћања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Потребно је омогућити увезивање са трезорском апликацијом плаћања, односно генерисање XML фајлова по параметрима трезорских апликација, као и аутоматско превлачење у одговарајуће опције – ликвидатура.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3. Благајна динарска/девизна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Модул Благајна мора функционисати као главна благајна која ће пратити излазе и улазе готовине са праћењем новчаних токова (обавезе исплате по разним захтевима, повраћај средстава, задужење – раздужење по раднику...). Благајна мора омогућити праћење и помоћне евиденције (помоћна благајна), односно хронолошки бележити промене кроз Дневник благајне, као и правити друге извештаје.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Потребно је омогућити да ниво рада буде организован селективно, у смислу да одређени корисници модула могу имати приступ само појединим опцијама (оперативним или извештајним). Девизна клаузула мора бити у сваком моменту активна, а тренутни курс се мора преузимати преко Народне банке Србије.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4. Остале врсте плаћања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Потребно је омогућити исплате по разним основама (Уговори о делу, Комисије, Надзорни одбори...) формирањем јединствених спискова исплате, где корисник мора имати могућност да сам дефинише стопе пореза и доприноса, као и нормиране коефицијенте. Апликација мора радити аутоматки обрачун, а уплате се потврђивати аутоматским препознавањем ставки са извода.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5. Обрачун зарада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Обрачун зарада и накнада зарада (боловања, друге врсте накнада, обуставе, кредитори...) мора омогућити брзо и групно генерисање зарада додељујући групне сате, односно допуњујући карнет листе запослених. Запослени морају имати своје пријаве где ће се убацити комплетни матични подаци који се аутоматски обрађују. Корисник мора имати могућност да месечно сам мења константе обрачуна, прилагођавајући их законским променама. Апликација мора омогућити разне унутрашње и екстерне извештаје по раднику, као и на новоу установе (комплетне рекапитулације по разним параметрима претраге).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6. Депозитни рачун, ликвидатура/књиговодство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Ова позиција мора бити саставни део модула Ликвидатура и увезана са финансијским модулом/налогом, односно неопходно је да постоји могућност сепаратне везе на основу врсте налога и врсте ентитета.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7. Финансијско књиговодство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Финансијско књиговодство је модул који мора синтетисати све остале модуле (Ликвидатуру, Фактурисање, Благајну, Остале врсте плаћања, Обрачун зарада …). Овај модул треба да омогући књижења свих докумената који су превучени из осталих модула, као и самостално књижење унутар самог финансијског модула/налога.  </w:t>
      </w:r>
    </w:p>
    <w:p w:rsidR="00A35D15" w:rsidRPr="00A35D15" w:rsidRDefault="00A35D15" w:rsidP="00A35D15">
      <w:pPr>
        <w:pStyle w:val="HTMLPreformatted"/>
        <w:shd w:val="clear" w:color="auto" w:fill="FFFFFF"/>
        <w:jc w:val="both"/>
        <w:rPr>
          <w:rFonts w:ascii="Times New Roman" w:hAnsi="Times New Roman"/>
          <w:color w:val="26282A"/>
          <w:sz w:val="24"/>
          <w:szCs w:val="24"/>
        </w:rPr>
      </w:pPr>
      <w:r w:rsidRPr="00A35D15">
        <w:rPr>
          <w:rFonts w:ascii="Times New Roman" w:hAnsi="Times New Roman"/>
          <w:color w:val="26282A"/>
          <w:sz w:val="24"/>
          <w:szCs w:val="24"/>
        </w:rPr>
        <w:t>Потребно је да поседује Дневник књижења, Главну књигу, Закључни лист, обрасце завршног рачуна, налог за исправку књижења…Потребно је да постоји функционалност која о</w:t>
      </w:r>
      <w:r w:rsidRPr="00A35D15">
        <w:rPr>
          <w:rFonts w:ascii="inherit" w:hAnsi="inherit" w:cs="Courier New"/>
          <w:color w:val="26282A"/>
        </w:rPr>
        <w:t xml:space="preserve"> </w:t>
      </w:r>
      <w:r w:rsidRPr="00A35D15">
        <w:rPr>
          <w:rFonts w:ascii="Times New Roman" w:hAnsi="Times New Roman"/>
          <w:color w:val="26282A"/>
          <w:sz w:val="24"/>
          <w:szCs w:val="24"/>
        </w:rPr>
        <w:t xml:space="preserve">могућава завођење плана прихода и расхода, као и праћење реализације истог у сваком моменту и по сваком конту кроз преглед прокњижених налога. Финансијски модул мора имати разне врсте прецизних извештаја по задатим параметрима претраге (конту, правном лицу, броју налога…)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lastRenderedPageBreak/>
        <w:t xml:space="preserve">8. Основна средства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Основна средства служе како би се радио обрачун по обрачунским методама адекватној групи којој припадају конкретна средства, узимајући у обзир набавне вредности, додате вредности, отписе…Амортизације морају бити приказане кроз различите извештаје где се претрага може радити по инвентарском броју, групи средстава и низу других параметара који се уносе кроз примарно завођење средстава.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9. Обрачун камата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Апликација мора поседовати калкулатор камата са свим дефинисаним обрачунским методома и са могућношћу уноса временских параметара неопходних за обрачун камате.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10. Евиденција и анализа мобилних телефона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Апликација треба да заводи дефинисани објекат додељујући параметре који га описују и дефинишу - Праћење објеката. Заведени објекат се спаја са другим објектима или субјектима коришћења  и прати кроз прописане евиденције.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11. Подсистем писарница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Писарница треба да омогући да свако завођење докумената добија свој број који би се кроз статус архивског броја преносио у модуле финансије ради даље обраде.Такав документ се увек може пратити, односно може се извештајно пратити статус заведеног или обрађеног документа.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12. Ситан инвентар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Треба омогућити да се ситан инвентар може водити вишетруко/кроз директна књижења Финансијског модула/кроз модул Основна средства/чак се може заводити и кроз магацинске картице као интерни улаз. На овакве начине ће се омогућити адекватно праћење завођење као и отпис инвентара.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Апликација мора формирати  извештаје  по траженим променама.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13. Евидентни рачун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Праћење евидентног рачуна/ опција која ће омогућавати /бележити промене везане за Евидентни рачун, стање на рачуну и друге промене.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14. Робно-материјално пословање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Модул мора пратити у потпуности законски дефинисане токове улаза и излаза магацина, количине, задужења, раздужења и адекватно томе дати извештаје о променама, како на количинама, тако и у финансијској вредности.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15. Заплењена роба и аутомобили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Евиденција о заплењеној роби и аутомобилима се мора водити кроз апликацију вишетруко/ као помоћна књига кроз Финансијски модул/ може се водити кроз апликацију - Праћење објеката где се кроз дефинисане параметра објекти описују, прате кроз задужења, а затим се генеришу извештаји по задатим параметрима.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16. Подсистем Информације за пословодство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Како сви финансијски модули система морају бити међусобно увезани на тај начин што се промене – евиденције које се у сваком модулу понаособ везују за конта, на крају збирно приказују у главном Финансијском модулу. Како се и план који се претходно уноси такође мора налазити у модулу Финансија а промена на сваком конту је по аутоматизму увезана са одређеном сифром АОП-а, разни и у сваком моменту прецизни извештаји који се односе на пословодство се могу добити из модула финансијско пословање, укључујуци и генерисање завршних образаца на задати дан и у сваком моменту.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Захваљујуци праћењу сви ових података, систем ће обезбедити адекватно и правовремено информисање пословодства са могућношћу надоградње извештавања на захтев корисника.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lastRenderedPageBreak/>
        <w:t xml:space="preserve">17. Подсистем Уговори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 xml:space="preserve">У зависности од уговора, уговори се могу заводити и у Ликвидатури и у Фактурисању, а интеграција и извештавање реализације уговора се завршава у Финансијском модулу. Уговори се могу заводити и описивати кроз врсту прихода, врсту услуге, врсту документа – рачуна који прати уговор. Једном заведен уговор у било ком модулу, мора увек бити видљив у Финансијском модулу који прати реализацију уговора.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18. План прихода и расхода по апропријацијама </w:t>
      </w:r>
    </w:p>
    <w:p w:rsidR="00A35D15" w:rsidRPr="00A35D15" w:rsidRDefault="00A35D15" w:rsidP="00A35D15">
      <w:pPr>
        <w:pStyle w:val="HTMLPreformatted"/>
        <w:shd w:val="clear" w:color="auto" w:fill="FFFFFF"/>
        <w:jc w:val="both"/>
        <w:rPr>
          <w:rFonts w:ascii="Times New Roman" w:hAnsi="Times New Roman"/>
          <w:color w:val="26282A"/>
          <w:sz w:val="24"/>
          <w:szCs w:val="24"/>
        </w:rPr>
      </w:pPr>
      <w:r w:rsidRPr="00A35D15">
        <w:rPr>
          <w:rFonts w:ascii="Times New Roman" w:hAnsi="Times New Roman"/>
          <w:color w:val="26282A"/>
          <w:sz w:val="24"/>
          <w:szCs w:val="24"/>
        </w:rPr>
        <w:t>План прихода и расхода по апропријацијама (ентитетима) мора бити саставни део модула Финансијско пословање, односно потпуно интегрисан у Финансијски модул, као и да поседује могућност уношења плана по различитим позицијама, контима и другим планским параметрима. План мора имати могућност</w:t>
      </w:r>
      <w:r w:rsidRPr="00A35D15">
        <w:rPr>
          <w:rFonts w:ascii="inherit" w:hAnsi="inherit" w:cs="Courier New"/>
          <w:color w:val="26282A"/>
        </w:rPr>
        <w:t xml:space="preserve"> </w:t>
      </w:r>
      <w:r w:rsidRPr="00A35D15">
        <w:rPr>
          <w:rFonts w:ascii="Times New Roman" w:hAnsi="Times New Roman"/>
          <w:color w:val="26282A"/>
          <w:sz w:val="24"/>
          <w:szCs w:val="24"/>
        </w:rPr>
        <w:t xml:space="preserve">и приказа различитих извештаја, као и праћење реализације.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26282A"/>
        </w:rPr>
      </w:pPr>
      <w:r w:rsidRPr="00A35D15">
        <w:rPr>
          <w:rFonts w:ascii="Times New Roman" w:hAnsi="Times New Roman"/>
          <w:b/>
          <w:color w:val="26282A"/>
        </w:rPr>
        <w:t xml:space="preserve">19. Мали евидентни рачун </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26282A"/>
        </w:rPr>
      </w:pPr>
      <w:r w:rsidRPr="00A35D15">
        <w:rPr>
          <w:rFonts w:ascii="Times New Roman" w:hAnsi="Times New Roman"/>
          <w:color w:val="26282A"/>
        </w:rPr>
        <w:t>Подопција везана за опцију Праћење евидентног рачуна - Праћење малог евидентног рачуна/ подопција која омогућава /бележи промене везане за мали евидентни рачун, стање на рачуну и друге промене.</w:t>
      </w:r>
    </w:p>
    <w:p w:rsidR="00A35D15" w:rsidRPr="00A35D15" w:rsidRDefault="00A35D15"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6282A"/>
        </w:rPr>
      </w:pPr>
    </w:p>
    <w:p w:rsidR="00A35D15" w:rsidRDefault="00116C92"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6282A"/>
        </w:rPr>
      </w:pPr>
      <w:r w:rsidRPr="00116C92">
        <w:rPr>
          <w:rFonts w:ascii="Times New Roman" w:hAnsi="Times New Roman"/>
          <w:noProof/>
          <w:color w:val="26282A"/>
        </w:rPr>
        <w:drawing>
          <wp:inline distT="0" distB="0" distL="0" distR="0">
            <wp:extent cx="5943600" cy="484879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848799"/>
                    </a:xfrm>
                    <a:prstGeom prst="rect">
                      <a:avLst/>
                    </a:prstGeom>
                    <a:noFill/>
                    <a:ln>
                      <a:noFill/>
                    </a:ln>
                  </pic:spPr>
                </pic:pic>
              </a:graphicData>
            </a:graphic>
          </wp:inline>
        </w:drawing>
      </w:r>
    </w:p>
    <w:p w:rsidR="00116C92" w:rsidRDefault="00116C92"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6282A"/>
        </w:rPr>
      </w:pPr>
    </w:p>
    <w:p w:rsidR="00116C92" w:rsidRDefault="00116C92"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6282A"/>
        </w:rPr>
      </w:pPr>
      <w:bookmarkStart w:id="0" w:name="_GoBack"/>
      <w:bookmarkEnd w:id="0"/>
    </w:p>
    <w:p w:rsidR="00116C92" w:rsidRPr="00A35D15" w:rsidRDefault="00116C92" w:rsidP="00A35D1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6282A"/>
        </w:rPr>
      </w:pPr>
      <w:r w:rsidRPr="00116C92">
        <w:rPr>
          <w:rFonts w:ascii="Times New Roman" w:hAnsi="Times New Roman"/>
          <w:noProof/>
          <w:color w:val="26282A"/>
        </w:rPr>
        <w:lastRenderedPageBreak/>
        <w:drawing>
          <wp:inline distT="0" distB="0" distL="0" distR="0">
            <wp:extent cx="5943600" cy="35886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588642"/>
                    </a:xfrm>
                    <a:prstGeom prst="rect">
                      <a:avLst/>
                    </a:prstGeom>
                    <a:noFill/>
                    <a:ln>
                      <a:noFill/>
                    </a:ln>
                  </pic:spPr>
                </pic:pic>
              </a:graphicData>
            </a:graphic>
          </wp:inline>
        </w:drawing>
      </w:r>
    </w:p>
    <w:p w:rsidR="00116C92" w:rsidRDefault="00116C92" w:rsidP="00116C92">
      <w:pPr>
        <w:jc w:val="center"/>
        <w:rPr>
          <w:rFonts w:ascii="Times New Roman" w:hAnsi="Times New Roman"/>
          <w:b/>
          <w:lang w:val="ru-RU"/>
        </w:rPr>
      </w:pPr>
    </w:p>
    <w:p w:rsidR="00A346E8" w:rsidRDefault="00116C92" w:rsidP="00116C92">
      <w:pPr>
        <w:jc w:val="center"/>
        <w:rPr>
          <w:rFonts w:ascii="Times New Roman" w:hAnsi="Times New Roman"/>
          <w:b/>
          <w:lang w:val="ru-RU"/>
        </w:rPr>
      </w:pPr>
      <w:r>
        <w:rPr>
          <w:rFonts w:ascii="Times New Roman" w:hAnsi="Times New Roman"/>
          <w:b/>
          <w:lang w:val="ru-RU"/>
        </w:rPr>
        <w:t>О д г о в о р:</w:t>
      </w:r>
    </w:p>
    <w:p w:rsidR="00116C92" w:rsidRDefault="00116C92" w:rsidP="00116C92">
      <w:pPr>
        <w:jc w:val="center"/>
        <w:rPr>
          <w:rFonts w:ascii="Times New Roman" w:hAnsi="Times New Roman"/>
          <w:b/>
          <w:lang w:val="ru-RU"/>
        </w:rPr>
      </w:pPr>
    </w:p>
    <w:p w:rsidR="00116C92" w:rsidRDefault="00116C92" w:rsidP="00116C92">
      <w:pPr>
        <w:jc w:val="center"/>
      </w:pPr>
      <w:r>
        <w:rPr>
          <w:noProof/>
        </w:rPr>
        <w:lastRenderedPageBreak/>
        <w:drawing>
          <wp:inline distT="0" distB="0" distL="0" distR="0">
            <wp:extent cx="5943600" cy="715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153275"/>
                    </a:xfrm>
                    <a:prstGeom prst="rect">
                      <a:avLst/>
                    </a:prstGeom>
                    <a:noFill/>
                    <a:ln>
                      <a:noFill/>
                    </a:ln>
                  </pic:spPr>
                </pic:pic>
              </a:graphicData>
            </a:graphic>
          </wp:inline>
        </w:drawing>
      </w:r>
    </w:p>
    <w:sectPr w:rsidR="00116C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A55" w:rsidRDefault="008E2A55" w:rsidP="00A346E8">
      <w:r>
        <w:separator/>
      </w:r>
    </w:p>
  </w:endnote>
  <w:endnote w:type="continuationSeparator" w:id="0">
    <w:p w:rsidR="008E2A55" w:rsidRDefault="008E2A55" w:rsidP="00A34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A55" w:rsidRDefault="008E2A55" w:rsidP="00A346E8">
      <w:r>
        <w:separator/>
      </w:r>
    </w:p>
  </w:footnote>
  <w:footnote w:type="continuationSeparator" w:id="0">
    <w:p w:rsidR="008E2A55" w:rsidRDefault="008E2A55" w:rsidP="00A346E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1343B"/>
    <w:multiLevelType w:val="hybridMultilevel"/>
    <w:tmpl w:val="7BB8B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C222C0"/>
    <w:multiLevelType w:val="hybridMultilevel"/>
    <w:tmpl w:val="DBAE3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E71C9F"/>
    <w:multiLevelType w:val="hybridMultilevel"/>
    <w:tmpl w:val="C7720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59C"/>
    <w:rsid w:val="000A7F77"/>
    <w:rsid w:val="00116C92"/>
    <w:rsid w:val="00193B6C"/>
    <w:rsid w:val="0020634B"/>
    <w:rsid w:val="003A659C"/>
    <w:rsid w:val="007835FF"/>
    <w:rsid w:val="0083574A"/>
    <w:rsid w:val="008E2A55"/>
    <w:rsid w:val="0090300B"/>
    <w:rsid w:val="0099025D"/>
    <w:rsid w:val="00A346E8"/>
    <w:rsid w:val="00A35D15"/>
    <w:rsid w:val="00C91171"/>
    <w:rsid w:val="00E92374"/>
    <w:rsid w:val="00ED2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8698"/>
  <w15:chartTrackingRefBased/>
  <w15:docId w15:val="{CB1BDE65-E5B3-4A14-B02E-5372E458C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6E8"/>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6E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46E8"/>
  </w:style>
  <w:style w:type="paragraph" w:styleId="Footer">
    <w:name w:val="footer"/>
    <w:basedOn w:val="Normal"/>
    <w:link w:val="FooterChar"/>
    <w:uiPriority w:val="99"/>
    <w:unhideWhenUsed/>
    <w:rsid w:val="00A346E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46E8"/>
  </w:style>
  <w:style w:type="paragraph" w:styleId="BodyText">
    <w:name w:val="Body Text"/>
    <w:basedOn w:val="Normal"/>
    <w:link w:val="BodyTextChar"/>
    <w:unhideWhenUsed/>
    <w:rsid w:val="00A346E8"/>
    <w:pPr>
      <w:spacing w:after="120"/>
    </w:pPr>
  </w:style>
  <w:style w:type="character" w:customStyle="1" w:styleId="BodyTextChar">
    <w:name w:val="Body Text Char"/>
    <w:basedOn w:val="DefaultParagraphFont"/>
    <w:link w:val="BodyText"/>
    <w:rsid w:val="00A346E8"/>
    <w:rPr>
      <w:rFonts w:ascii="Franklin Gothic Book" w:eastAsia="Times New Roman" w:hAnsi="Franklin Gothic Book" w:cs="Times New Roman"/>
      <w:sz w:val="24"/>
      <w:szCs w:val="24"/>
    </w:rPr>
  </w:style>
  <w:style w:type="paragraph" w:customStyle="1" w:styleId="Default">
    <w:name w:val="Default"/>
    <w:rsid w:val="000A7F7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0A7F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7F77"/>
    <w:rPr>
      <w:rFonts w:ascii="Segoe UI" w:eastAsia="Times New Roman" w:hAnsi="Segoe UI" w:cs="Segoe UI"/>
      <w:sz w:val="18"/>
      <w:szCs w:val="18"/>
    </w:rPr>
  </w:style>
  <w:style w:type="paragraph" w:styleId="HTMLPreformatted">
    <w:name w:val="HTML Preformatted"/>
    <w:basedOn w:val="Normal"/>
    <w:link w:val="HTMLPreformattedChar"/>
    <w:uiPriority w:val="99"/>
    <w:semiHidden/>
    <w:unhideWhenUsed/>
    <w:rsid w:val="00A35D1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35D15"/>
    <w:rPr>
      <w:rFonts w:ascii="Consolas" w:eastAsia="Times New Roman"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32716">
      <w:bodyDiv w:val="1"/>
      <w:marLeft w:val="0"/>
      <w:marRight w:val="0"/>
      <w:marTop w:val="0"/>
      <w:marBottom w:val="0"/>
      <w:divBdr>
        <w:top w:val="none" w:sz="0" w:space="0" w:color="auto"/>
        <w:left w:val="none" w:sz="0" w:space="0" w:color="auto"/>
        <w:bottom w:val="none" w:sz="0" w:space="0" w:color="auto"/>
        <w:right w:val="none" w:sz="0" w:space="0" w:color="auto"/>
      </w:divBdr>
    </w:div>
    <w:div w:id="240868733">
      <w:bodyDiv w:val="1"/>
      <w:marLeft w:val="0"/>
      <w:marRight w:val="0"/>
      <w:marTop w:val="0"/>
      <w:marBottom w:val="0"/>
      <w:divBdr>
        <w:top w:val="none" w:sz="0" w:space="0" w:color="auto"/>
        <w:left w:val="none" w:sz="0" w:space="0" w:color="auto"/>
        <w:bottom w:val="none" w:sz="0" w:space="0" w:color="auto"/>
        <w:right w:val="none" w:sz="0" w:space="0" w:color="auto"/>
      </w:divBdr>
    </w:div>
    <w:div w:id="597101905">
      <w:bodyDiv w:val="1"/>
      <w:marLeft w:val="0"/>
      <w:marRight w:val="0"/>
      <w:marTop w:val="0"/>
      <w:marBottom w:val="0"/>
      <w:divBdr>
        <w:top w:val="none" w:sz="0" w:space="0" w:color="auto"/>
        <w:left w:val="none" w:sz="0" w:space="0" w:color="auto"/>
        <w:bottom w:val="none" w:sz="0" w:space="0" w:color="auto"/>
        <w:right w:val="none" w:sz="0" w:space="0" w:color="auto"/>
      </w:divBdr>
    </w:div>
    <w:div w:id="662271660">
      <w:bodyDiv w:val="1"/>
      <w:marLeft w:val="0"/>
      <w:marRight w:val="0"/>
      <w:marTop w:val="0"/>
      <w:marBottom w:val="0"/>
      <w:divBdr>
        <w:top w:val="none" w:sz="0" w:space="0" w:color="auto"/>
        <w:left w:val="none" w:sz="0" w:space="0" w:color="auto"/>
        <w:bottom w:val="none" w:sz="0" w:space="0" w:color="auto"/>
        <w:right w:val="none" w:sz="0" w:space="0" w:color="auto"/>
      </w:divBdr>
    </w:div>
    <w:div w:id="1527522399">
      <w:bodyDiv w:val="1"/>
      <w:marLeft w:val="0"/>
      <w:marRight w:val="0"/>
      <w:marTop w:val="0"/>
      <w:marBottom w:val="0"/>
      <w:divBdr>
        <w:top w:val="none" w:sz="0" w:space="0" w:color="auto"/>
        <w:left w:val="none" w:sz="0" w:space="0" w:color="auto"/>
        <w:bottom w:val="none" w:sz="0" w:space="0" w:color="auto"/>
        <w:right w:val="none" w:sz="0" w:space="0" w:color="auto"/>
      </w:divBdr>
    </w:div>
    <w:div w:id="186339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0D17CC5-8744-4DD6-AD0E-D168D2F36C69}"/>
</file>

<file path=customXml/itemProps2.xml><?xml version="1.0" encoding="utf-8"?>
<ds:datastoreItem xmlns:ds="http://schemas.openxmlformats.org/officeDocument/2006/customXml" ds:itemID="{0D1365CA-1ABE-4B80-88FD-1A70D97DB450}"/>
</file>

<file path=customXml/itemProps3.xml><?xml version="1.0" encoding="utf-8"?>
<ds:datastoreItem xmlns:ds="http://schemas.openxmlformats.org/officeDocument/2006/customXml" ds:itemID="{B55E18F4-602F-4D95-A869-8F2D0D6038B6}"/>
</file>

<file path=docProps/app.xml><?xml version="1.0" encoding="utf-8"?>
<Properties xmlns="http://schemas.openxmlformats.org/officeDocument/2006/extended-properties" xmlns:vt="http://schemas.openxmlformats.org/officeDocument/2006/docPropsVTypes">
  <Template>Normal</Template>
  <TotalTime>55</TotalTime>
  <Pages>6</Pages>
  <Words>1263</Words>
  <Characters>7204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Vojvodic</dc:creator>
  <cp:keywords/>
  <dc:description/>
  <cp:lastModifiedBy>Zoran Mihailović</cp:lastModifiedBy>
  <cp:revision>7</cp:revision>
  <cp:lastPrinted>2018-10-02T07:06:00Z</cp:lastPrinted>
  <dcterms:created xsi:type="dcterms:W3CDTF">2018-10-02T06:53:00Z</dcterms:created>
  <dcterms:modified xsi:type="dcterms:W3CDTF">2018-10-12T13:10:00Z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